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30" w:rsidRPr="00306630" w:rsidRDefault="00306630" w:rsidP="00031C4F">
      <w:pPr>
        <w:spacing w:before="100" w:beforeAutospacing="1" w:after="240" w:line="240" w:lineRule="auto"/>
        <w:jc w:val="both"/>
        <w:outlineLvl w:val="2"/>
        <w:rPr>
          <w:rFonts w:ascii="Noto Sans" w:eastAsia="Times New Roman" w:hAnsi="Noto Sans" w:cs="Noto Sans"/>
          <w:b/>
          <w:bCs/>
          <w:color w:val="24292F"/>
          <w:sz w:val="30"/>
          <w:szCs w:val="30"/>
          <w:lang w:eastAsia="pt-BR"/>
        </w:rPr>
      </w:pPr>
      <w:r w:rsidRPr="00306630">
        <w:rPr>
          <w:rFonts w:ascii="Noto Sans" w:eastAsia="Times New Roman" w:hAnsi="Noto Sans" w:cs="Noto Sans"/>
          <w:b/>
          <w:bCs/>
          <w:color w:val="24292F"/>
          <w:sz w:val="30"/>
          <w:szCs w:val="30"/>
          <w:lang w:eastAsia="pt-BR"/>
        </w:rPr>
        <w:t>PASSO A PASSO: PROTOCOLO DE INTENÇÕES / MEMORANDO DE ENTENDIMENTO / MOU</w:t>
      </w:r>
    </w:p>
    <w:p w:rsidR="00306630" w:rsidRPr="00306630" w:rsidRDefault="00306630" w:rsidP="00306630">
      <w:pPr>
        <w:spacing w:after="240" w:line="240" w:lineRule="auto"/>
        <w:jc w:val="both"/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</w:pPr>
      <w:r w:rsidRPr="00306630"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  <w:t>O Protocolo de Intenções é um instrumento formal utilizado por entes públicos para estabelecer um vínculo cooperativo ou de parceria entre si, com interesses e condições recíprocas, visando a realização de um propósito comum. Diferente de convênios, contratos de repasse e termos de execução descentralizada, o Protocolo de Intenções não permite a transferência de recursos entre os partícipes.</w:t>
      </w:r>
    </w:p>
    <w:p w:rsidR="00306630" w:rsidRPr="00306630" w:rsidRDefault="00306630" w:rsidP="00306630">
      <w:pPr>
        <w:spacing w:after="240" w:line="240" w:lineRule="auto"/>
        <w:jc w:val="both"/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</w:pPr>
      <w:r w:rsidRPr="00306630"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  <w:t>Além disso, ele se distingue dos Acordos de Cooperação Técnica por ser um ajuste genérico, sem obrigações imediatas. Trata-se de um documento sucinto que não exige um plano de trabalho ou projeto específico, funcionando como um mero consenso entre os partícipes. O objetivo é, no futuro, possibilitar a elaboração de instrumentos específicos para projetos que possam ser firmados.</w:t>
      </w:r>
    </w:p>
    <w:p w:rsidR="00306630" w:rsidRPr="00306630" w:rsidRDefault="00306630" w:rsidP="00306630">
      <w:pPr>
        <w:spacing w:after="240" w:line="240" w:lineRule="auto"/>
        <w:jc w:val="both"/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</w:pPr>
      <w:r w:rsidRPr="00306630"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  <w:t>É importante não confundir o Protocolo de Intenções com o Acordo de Cooperação Técnica, que implica obrigações e atribuições assumidas pelas partes, configurando-se como um instrumento jurídico obrigacional.</w:t>
      </w:r>
    </w:p>
    <w:p w:rsidR="00306630" w:rsidRPr="00306630" w:rsidRDefault="00306630" w:rsidP="00306630">
      <w:pPr>
        <w:spacing w:after="240" w:line="240" w:lineRule="auto"/>
        <w:jc w:val="both"/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</w:pPr>
      <w:r w:rsidRPr="00306630"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  <w:t>O Protocolo de Intenções deve ser utilizado de forma subsidiária em relação a outros instrumentos de natureza cooperativa. Caso exista um instrumento jurídico mais adequado para o objetivo pretendido pela Administração Pública, este deve ser priorizado, utilizando o Protocolo de Intenções como um recurso residual, quando não se pretende estabelecer vínculos jurídicos obrigacionais entre os partícipes.</w:t>
      </w:r>
    </w:p>
    <w:p w:rsidR="00306630" w:rsidRPr="00306630" w:rsidRDefault="00306630" w:rsidP="00306630">
      <w:pPr>
        <w:spacing w:before="360" w:after="240" w:line="240" w:lineRule="auto"/>
        <w:outlineLvl w:val="2"/>
        <w:rPr>
          <w:rFonts w:ascii="Noto Sans" w:eastAsia="Times New Roman" w:hAnsi="Noto Sans" w:cs="Noto Sans"/>
          <w:b/>
          <w:bCs/>
          <w:color w:val="24292F"/>
          <w:sz w:val="30"/>
          <w:szCs w:val="30"/>
          <w:lang w:eastAsia="pt-BR"/>
        </w:rPr>
      </w:pPr>
      <w:r w:rsidRPr="00306630">
        <w:rPr>
          <w:rFonts w:ascii="Noto Sans" w:eastAsia="Times New Roman" w:hAnsi="Noto Sans" w:cs="Noto Sans"/>
          <w:b/>
          <w:bCs/>
          <w:color w:val="24292F"/>
          <w:sz w:val="30"/>
          <w:szCs w:val="30"/>
          <w:lang w:eastAsia="pt-BR"/>
        </w:rPr>
        <w:t>Passo a Passo para Formalização</w:t>
      </w:r>
    </w:p>
    <w:p w:rsidR="00306630" w:rsidRPr="00306630" w:rsidRDefault="00306630" w:rsidP="00031C4F">
      <w:pPr>
        <w:numPr>
          <w:ilvl w:val="0"/>
          <w:numId w:val="2"/>
        </w:numPr>
        <w:spacing w:before="240" w:after="240" w:line="240" w:lineRule="auto"/>
        <w:jc w:val="both"/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</w:pPr>
      <w:r w:rsidRPr="00306630">
        <w:rPr>
          <w:rFonts w:ascii="Noto Sans" w:eastAsia="Times New Roman" w:hAnsi="Noto Sans" w:cs="Noto Sans"/>
          <w:b/>
          <w:bCs/>
          <w:color w:val="24292F"/>
          <w:sz w:val="21"/>
          <w:szCs w:val="21"/>
          <w:lang w:eastAsia="pt-BR"/>
        </w:rPr>
        <w:t>Abertura do Processo</w:t>
      </w:r>
      <w:r w:rsidRPr="00306630"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  <w:t>: A Unidade Acadêmica ou o coordenador da pesquisa deve abrir o processo no SEI.</w:t>
      </w:r>
    </w:p>
    <w:p w:rsidR="00306630" w:rsidRPr="00306630" w:rsidRDefault="00306630" w:rsidP="00031C4F">
      <w:pPr>
        <w:numPr>
          <w:ilvl w:val="0"/>
          <w:numId w:val="2"/>
        </w:numPr>
        <w:spacing w:before="240" w:after="240" w:line="240" w:lineRule="auto"/>
        <w:jc w:val="both"/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</w:pPr>
      <w:r w:rsidRPr="00306630">
        <w:rPr>
          <w:rFonts w:ascii="Noto Sans" w:eastAsia="Times New Roman" w:hAnsi="Noto Sans" w:cs="Noto Sans"/>
          <w:b/>
          <w:bCs/>
          <w:color w:val="24292F"/>
          <w:sz w:val="21"/>
          <w:szCs w:val="21"/>
          <w:lang w:eastAsia="pt-BR"/>
        </w:rPr>
        <w:t>Inserção da Minuta</w:t>
      </w:r>
      <w:r w:rsidRPr="00306630"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  <w:t>: Inserir a minuta do Protocolo de Intenções / Memorando de Entendimento / MOU.</w:t>
      </w:r>
    </w:p>
    <w:p w:rsidR="00306630" w:rsidRPr="00306630" w:rsidRDefault="00306630" w:rsidP="00031C4F">
      <w:pPr>
        <w:numPr>
          <w:ilvl w:val="0"/>
          <w:numId w:val="2"/>
        </w:numPr>
        <w:spacing w:before="240" w:after="240" w:line="240" w:lineRule="auto"/>
        <w:jc w:val="both"/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</w:pPr>
      <w:r w:rsidRPr="00306630">
        <w:rPr>
          <w:rFonts w:ascii="Noto Sans" w:eastAsia="Times New Roman" w:hAnsi="Noto Sans" w:cs="Noto Sans"/>
          <w:b/>
          <w:bCs/>
          <w:color w:val="24292F"/>
          <w:sz w:val="21"/>
          <w:szCs w:val="21"/>
          <w:lang w:eastAsia="pt-BR"/>
        </w:rPr>
        <w:t>Justificativa do Pesquisador</w:t>
      </w:r>
      <w:r w:rsidRPr="00306630"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  <w:t>: Inserir ou emitir um ofício com a motivação e justificativa do pesquisador, detalhando a negociação entre a UFU e a Organização Parceira, demonstrando a viabilidade da negociação para a instituição.</w:t>
      </w:r>
    </w:p>
    <w:p w:rsidR="00306630" w:rsidRPr="00306630" w:rsidRDefault="00306630" w:rsidP="00031C4F">
      <w:pPr>
        <w:numPr>
          <w:ilvl w:val="0"/>
          <w:numId w:val="2"/>
        </w:numPr>
        <w:spacing w:before="240" w:after="240" w:line="240" w:lineRule="auto"/>
        <w:jc w:val="both"/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</w:pPr>
      <w:r w:rsidRPr="00306630">
        <w:rPr>
          <w:rFonts w:ascii="Noto Sans" w:eastAsia="Times New Roman" w:hAnsi="Noto Sans" w:cs="Noto Sans"/>
          <w:b/>
          <w:bCs/>
          <w:color w:val="24292F"/>
          <w:sz w:val="21"/>
          <w:szCs w:val="21"/>
          <w:lang w:eastAsia="pt-BR"/>
        </w:rPr>
        <w:t>Aprovação Institucional</w:t>
      </w:r>
      <w:r w:rsidRPr="00306630"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  <w:t>: Inserir ou emitir o documento que aprova o protocolo no âmbito institucional (como a ata de aprovação do conselho) e/ou Ad Referendum, quando aplicável.</w:t>
      </w:r>
    </w:p>
    <w:p w:rsidR="00306630" w:rsidRPr="00306630" w:rsidRDefault="00306630" w:rsidP="00031C4F">
      <w:pPr>
        <w:numPr>
          <w:ilvl w:val="0"/>
          <w:numId w:val="2"/>
        </w:numPr>
        <w:spacing w:before="240" w:after="240" w:line="240" w:lineRule="auto"/>
        <w:jc w:val="both"/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</w:pPr>
      <w:r w:rsidRPr="00306630">
        <w:rPr>
          <w:rFonts w:ascii="Noto Sans" w:eastAsia="Times New Roman" w:hAnsi="Noto Sans" w:cs="Noto Sans"/>
          <w:b/>
          <w:bCs/>
          <w:color w:val="24292F"/>
          <w:sz w:val="21"/>
          <w:szCs w:val="21"/>
          <w:lang w:eastAsia="pt-BR"/>
        </w:rPr>
        <w:t>Documentação da Empresa</w:t>
      </w:r>
      <w:r w:rsidRPr="00306630"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  <w:t>: Apresentar cópias de documentos que comprovem a procedência da empresa (estatuto), além de documentos pessoais do representante legal e ato normativo que comprove a autonomia para celebrar convênios ou outros instrumentos contratuais.</w:t>
      </w:r>
    </w:p>
    <w:p w:rsidR="00306630" w:rsidRPr="00306630" w:rsidRDefault="00306630" w:rsidP="00031C4F">
      <w:pPr>
        <w:numPr>
          <w:ilvl w:val="0"/>
          <w:numId w:val="2"/>
        </w:numPr>
        <w:spacing w:before="240" w:after="240" w:line="240" w:lineRule="auto"/>
        <w:jc w:val="both"/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</w:pPr>
      <w:r w:rsidRPr="00306630">
        <w:rPr>
          <w:rFonts w:ascii="Noto Sans" w:eastAsia="Times New Roman" w:hAnsi="Noto Sans" w:cs="Noto Sans"/>
          <w:b/>
          <w:bCs/>
          <w:color w:val="24292F"/>
          <w:sz w:val="21"/>
          <w:szCs w:val="21"/>
          <w:lang w:eastAsia="pt-BR"/>
        </w:rPr>
        <w:t>Análise Técnica</w:t>
      </w:r>
      <w:r w:rsidRPr="00306630"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  <w:t>: Realizar a análise e parecer técnico da DIPOC e da DIRTC.</w:t>
      </w:r>
    </w:p>
    <w:p w:rsidR="00306630" w:rsidRPr="00306630" w:rsidRDefault="00306630" w:rsidP="00031C4F">
      <w:pPr>
        <w:numPr>
          <w:ilvl w:val="0"/>
          <w:numId w:val="2"/>
        </w:numPr>
        <w:spacing w:before="240" w:after="240" w:line="240" w:lineRule="auto"/>
        <w:jc w:val="both"/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</w:pPr>
      <w:r w:rsidRPr="00306630">
        <w:rPr>
          <w:rFonts w:ascii="Noto Sans" w:eastAsia="Times New Roman" w:hAnsi="Noto Sans" w:cs="Noto Sans"/>
          <w:b/>
          <w:bCs/>
          <w:color w:val="24292F"/>
          <w:sz w:val="21"/>
          <w:szCs w:val="21"/>
          <w:lang w:eastAsia="pt-BR"/>
        </w:rPr>
        <w:t>Parecer Jurídico</w:t>
      </w:r>
      <w:r w:rsidRPr="00306630"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  <w:t>: Enviar o processo à Procuradoria Geral (PROGE) para obtenção de parecer jurídico.</w:t>
      </w:r>
    </w:p>
    <w:p w:rsidR="00306630" w:rsidRPr="00306630" w:rsidRDefault="00306630" w:rsidP="00031C4F">
      <w:pPr>
        <w:numPr>
          <w:ilvl w:val="0"/>
          <w:numId w:val="2"/>
        </w:numPr>
        <w:spacing w:before="240" w:after="240" w:line="240" w:lineRule="auto"/>
        <w:jc w:val="both"/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</w:pPr>
      <w:r w:rsidRPr="00306630">
        <w:rPr>
          <w:rFonts w:ascii="Noto Sans" w:eastAsia="Times New Roman" w:hAnsi="Noto Sans" w:cs="Noto Sans"/>
          <w:b/>
          <w:bCs/>
          <w:color w:val="24292F"/>
          <w:sz w:val="21"/>
          <w:szCs w:val="21"/>
          <w:lang w:eastAsia="pt-BR"/>
        </w:rPr>
        <w:t>Assinatura e Publicação</w:t>
      </w:r>
      <w:r w:rsidRPr="00306630">
        <w:rPr>
          <w:rFonts w:ascii="Noto Sans" w:eastAsia="Times New Roman" w:hAnsi="Noto Sans" w:cs="Noto Sans"/>
          <w:color w:val="24292F"/>
          <w:sz w:val="21"/>
          <w:szCs w:val="21"/>
          <w:lang w:eastAsia="pt-BR"/>
        </w:rPr>
        <w:t>: Após receber o parecer da PROGE e atender completamente às recomendações das partes envolvidas, o protocolo poderá ser assinado e, posteriormente, publicado no DOU.</w:t>
      </w:r>
    </w:p>
    <w:p w:rsidR="00383FB4" w:rsidRDefault="00850A50" w:rsidP="00306630">
      <w:pPr>
        <w:rPr>
          <w:rStyle w:val="Hyperlink"/>
        </w:rPr>
      </w:pPr>
      <w:r>
        <w:lastRenderedPageBreak/>
        <w:t xml:space="preserve">Minuta da AGU e orientações no site: </w:t>
      </w:r>
      <w:hyperlink r:id="rId5" w:history="1">
        <w:r w:rsidRPr="00850A50">
          <w:rPr>
            <w:rStyle w:val="Hyperlink"/>
          </w:rPr>
          <w:t>https://www.gov.br/agu/pt-br/composicao/cgu/cgu/modelos/conveniosecongeneres/protocolo-de-intencoes-marco-2024.pdf</w:t>
        </w:r>
      </w:hyperlink>
      <w:bookmarkStart w:id="0" w:name="_GoBack"/>
      <w:bookmarkEnd w:id="0"/>
    </w:p>
    <w:sectPr w:rsidR="00383F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34D4"/>
    <w:multiLevelType w:val="multilevel"/>
    <w:tmpl w:val="D768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4B1261"/>
    <w:multiLevelType w:val="hybridMultilevel"/>
    <w:tmpl w:val="D248934A"/>
    <w:lvl w:ilvl="0" w:tplc="4A2E3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DF"/>
    <w:rsid w:val="00031C4F"/>
    <w:rsid w:val="00306630"/>
    <w:rsid w:val="00370454"/>
    <w:rsid w:val="00375C3E"/>
    <w:rsid w:val="00383FB4"/>
    <w:rsid w:val="00392340"/>
    <w:rsid w:val="003977BB"/>
    <w:rsid w:val="005E0274"/>
    <w:rsid w:val="00654639"/>
    <w:rsid w:val="006B13EB"/>
    <w:rsid w:val="006D3773"/>
    <w:rsid w:val="0071686D"/>
    <w:rsid w:val="00850A50"/>
    <w:rsid w:val="008D529A"/>
    <w:rsid w:val="00961FDF"/>
    <w:rsid w:val="00BA118C"/>
    <w:rsid w:val="00C61DBD"/>
    <w:rsid w:val="00EA007C"/>
    <w:rsid w:val="00E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34CF"/>
  <w15:chartTrackingRefBased/>
  <w15:docId w15:val="{FB5CD3E5-9AC8-4E4E-BB82-2399C696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1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1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D377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50A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br/agu/pt-br/composicao/cgu/cgu/modelos/conveniosecongeneres/protocolo-de-intencoes-marco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Cássia Lima</dc:creator>
  <cp:keywords/>
  <dc:description/>
  <cp:lastModifiedBy>Rita de Cássia Lima</cp:lastModifiedBy>
  <cp:revision>6</cp:revision>
  <dcterms:created xsi:type="dcterms:W3CDTF">2023-06-28T13:47:00Z</dcterms:created>
  <dcterms:modified xsi:type="dcterms:W3CDTF">2025-01-30T14:30:00Z</dcterms:modified>
</cp:coreProperties>
</file>